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16034 / PN-EN 1634-1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drzwi i bram przeciwpożarowych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uprawnień / autoryzacji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WYKAZ DRZWI I BRAM OBJĘTYCH PRZEGLĄDEM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16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Oznaczenie / lokalizacja</w:t>
            </w:r>
          </w:p>
        </w:tc>
        <w:tc>
          <w:tcPr>
            <w:tcW w:type="pct" w:w="11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Producent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Nr fabryczny</w:t>
            </w:r>
          </w:p>
        </w:tc>
        <w:tc>
          <w:tcPr>
            <w:tcW w:type="pct" w:w="11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Klasa odporności (EI/EW)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Dymoszczelność (Sa/S200)</w:t>
            </w:r>
          </w:p>
        </w:tc>
        <w:tc>
          <w:tcPr>
            <w:tcW w:type="pct" w:w="8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Samozamykacz</w:t>
            </w:r>
          </w:p>
        </w:tc>
        <w:tc>
          <w:tcPr>
            <w:tcW w:type="pct" w:w="8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Trzymacz / SSP</w:t>
            </w:r>
          </w:p>
        </w:tc>
        <w:tc>
          <w:tcPr>
            <w:tcW w:type="pct" w:w="7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Wynik</w:t>
            </w:r>
          </w:p>
        </w:tc>
        <w:tc>
          <w:tcPr>
            <w:tcW w:type="pct" w:w="1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Następny przegląd</w:t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5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6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7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8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9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10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color w:val="29261B"/>
          <w:sz w:val="15"/>
          <w:szCs w:val="15"/>
        </w:rPr>
        <w:t xml:space="preserve">Legenda:  </w:t>
      </w:r>
      <w:r>
        <w:rPr>
          <w:rFonts w:ascii="Arial" w:cs="Arial" w:eastAsia="Arial" w:hAnsi="Arial"/>
          <w:color w:val="3D3A30"/>
          <w:sz w:val="15"/>
          <w:szCs w:val="15"/>
        </w:rPr>
        <w:t xml:space="preserve">S – sprawne   ·   N – do naprawy   ·   W – do wymiany elementu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Oględziny skrzydła i ościeżnicy — brak odkształceń, uszkodzeń i niedozwolonych przeróbek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Szczeliny i luzy na obwodzie skrzydła w granicach dokumentacji producenta (DTR)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Zawiasy i okucia — mocowanie, brak luzów, smarowanie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Zamek, rygle, zatrzask i klamka — prawidłowe działanie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Uszczelka pęczniejąca (ogniochronna) — kompletność i ciągłość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Uszczelki dymoszczelne i szczelność przylegania (dotyczy klasy Sa / S200)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Samozamykacz — pełne domknięcie z dowolnego położenia, siła zamykania min. EN 3 (PN-EN 1154)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Koordynator kolejności zamykania (dotyczy drzwi dwuskrzydłowych)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9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Trzymacz elektromagnetyczny — zwolnienie po sygnale z SSP (jeżeli zainstalowany)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10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Przeszklenie ognioodporne i uszczelki przyszybowe — brak pęknięć, mocowanie listew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Oznakowanie — tabliczka znamionowa, klasa odporności, deklaracja właściwości użytkowych (DWU)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Brak blokad i klinów utrzymujących drzwi w pozycji otwartej bez trzymacza sprzężonego z SSP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techniczny wykonano zgodnie z § 3 rozporządzenia Ministra Spraw Wewnętrznych i Administracji z dnia 7 czerwca 2010 r. w sprawie ochrony przeciwpożarowej budynków, innych obiektów budowlanych i terenów (Dz.U. 2010 nr 109 poz. 719). Drzwi i bramy przeciwpożarowe wyposażone w systemy sterowania są urządzeniami przeciwpożarowymi (§ 2 ust. 1 pkt 9) i podlegają przeglądom nie rzadziej niż raz w roku. Wymagania wyrobu: PN-EN 16034; badania odporności ogniowej: PN-EN 1634-1; zamykacze drzwiowe: PN-EN 1154.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6838" w:h="11906" w:orient="landscape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drzwi i bram przeciwpożarowych</dc:title>
  <dc:creator>Gaśnica-Control</dc:creator>
  <dc:description>Ochrona przeciwpożarowa · PN-EN 16034 / PN-EN 1634-1</dc:description>
  <cp:lastModifiedBy>Un-named</cp:lastModifiedBy>
  <cp:revision>1</cp:revision>
  <dcterms:created xsi:type="dcterms:W3CDTF">2026-07-18T14:11:09.027Z</dcterms:created>
  <dcterms:modified xsi:type="dcterms:W3CDTF">2026-07-18T14:11:09.027Z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